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Иллюстрация: книжная и журнальная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«Книжная иллюстрация»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и макеты для книжных страниц, разворотов, обложек..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Adobe Photoshop. Редактирование фотоматериалов для верстки. Мастер-класс по работе в программе Adobe Photoshop. Редактирование фотоматериалов для верстки..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«Иллюстрирование специальных изданий»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выполнять иллюстрации и макеты для страниц, разворотов, обложек специальных изданий..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Adobe InDesign. Авторская врезка иллюстраций. Мастер-класс по работе в программе Adobe InDesign. Авторская врезка иллюстраций..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«Журнальная и газетная вёрстка иллюстраций»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навыки вёрстки иллюстраций для книжных и журнальных страниц, разворотов, обложек..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Adobe Illustrator. Типографическая иллюстрация. Мастер-класс по работе в программе Adobe Illustrator. Типографическая иллюстрация..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